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773204" w:rsidRPr="00CC7D1D" w:rsidTr="00773204">
        <w:trPr>
          <w:trHeight w:val="567"/>
          <w:tblHeader/>
        </w:trPr>
        <w:tc>
          <w:tcPr>
            <w:tcW w:w="9924" w:type="dxa"/>
            <w:gridSpan w:val="2"/>
            <w:tcBorders>
              <w:top w:val="nil"/>
              <w:left w:val="nil"/>
              <w:right w:val="nil"/>
            </w:tcBorders>
          </w:tcPr>
          <w:p w:rsidR="00773204" w:rsidRPr="00CC7D1D" w:rsidRDefault="00773204" w:rsidP="00271756">
            <w:pPr>
              <w:adjustRightInd w:val="0"/>
              <w:snapToGrid w:val="0"/>
              <w:spacing w:line="440" w:lineRule="exact"/>
              <w:ind w:leftChars="150" w:left="36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臺北市政府實施內部控制制度作業原則</w:t>
            </w:r>
            <w:r w:rsidRPr="00105FCE">
              <w:rPr>
                <w:rFonts w:ascii="標楷體" w:eastAsia="標楷體" w:hAnsi="標楷體" w:hint="eastAsia"/>
                <w:sz w:val="36"/>
                <w:szCs w:val="36"/>
              </w:rPr>
              <w:t>逐點說明</w:t>
            </w:r>
          </w:p>
        </w:tc>
      </w:tr>
      <w:tr w:rsidR="00342839" w:rsidRPr="00CC7D1D" w:rsidTr="00773204">
        <w:trPr>
          <w:tblHeader/>
        </w:trPr>
        <w:tc>
          <w:tcPr>
            <w:tcW w:w="4679" w:type="dxa"/>
          </w:tcPr>
          <w:p w:rsidR="00342839" w:rsidRPr="00CC7D1D" w:rsidRDefault="00342839" w:rsidP="00271756">
            <w:pPr>
              <w:adjustRightInd w:val="0"/>
              <w:snapToGrid w:val="0"/>
              <w:spacing w:line="440" w:lineRule="exact"/>
              <w:ind w:leftChars="150" w:left="3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C7D1D">
              <w:rPr>
                <w:rFonts w:ascii="標楷體" w:eastAsia="標楷體" w:hAnsi="標楷體" w:hint="eastAsia"/>
                <w:bCs/>
                <w:sz w:val="28"/>
                <w:szCs w:val="28"/>
              </w:rPr>
              <w:t>訂定條文</w:t>
            </w:r>
          </w:p>
        </w:tc>
        <w:tc>
          <w:tcPr>
            <w:tcW w:w="5245" w:type="dxa"/>
          </w:tcPr>
          <w:p w:rsidR="00342839" w:rsidRPr="00CC7D1D" w:rsidRDefault="00342839" w:rsidP="00271756">
            <w:pPr>
              <w:adjustRightInd w:val="0"/>
              <w:snapToGrid w:val="0"/>
              <w:spacing w:line="440" w:lineRule="exact"/>
              <w:ind w:leftChars="150" w:left="3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CC7D1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342839" w:rsidRPr="00CC7D1D" w:rsidTr="00773204">
        <w:tc>
          <w:tcPr>
            <w:tcW w:w="4679" w:type="dxa"/>
            <w:vAlign w:val="center"/>
          </w:tcPr>
          <w:p w:rsidR="00342839" w:rsidRPr="00CC7D1D" w:rsidRDefault="00342839" w:rsidP="00D6079F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名稱：臺北市政府實施內部控制制度作業原則</w:t>
            </w:r>
          </w:p>
        </w:tc>
        <w:tc>
          <w:tcPr>
            <w:tcW w:w="5245" w:type="dxa"/>
            <w:vAlign w:val="center"/>
          </w:tcPr>
          <w:p w:rsidR="00342839" w:rsidRPr="00CC7D1D" w:rsidRDefault="00644809" w:rsidP="00B3788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</w:t>
            </w:r>
            <w:r w:rsidR="00AF7283" w:rsidRPr="00AF72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</w:t>
            </w:r>
            <w:proofErr w:type="gramStart"/>
            <w:r w:rsidR="00AF7283" w:rsidRPr="00AF72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行政院函頒修正</w:t>
            </w:r>
            <w:proofErr w:type="gramEnd"/>
            <w:r w:rsidR="00AF7283" w:rsidRPr="00AF72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政府內部控制監督作業要點，簡化內部控制監督作業及表件，</w:t>
            </w:r>
            <w:proofErr w:type="gramStart"/>
            <w:r w:rsidR="00AF7283" w:rsidRPr="00AF72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整合</w:t>
            </w:r>
            <w:r w:rsidR="00342839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臺北市政府稽查所屬各機關實施內部控制成效作業原則(以下簡稱成效作業原則)、臺北市政府各機關辦理內部控制查核作業須知及臺北市政府各機關</w:t>
            </w:r>
            <w:proofErr w:type="gramStart"/>
            <w:r w:rsidR="00342839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="00342839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訂內部控制制度一致原則，並依本府各機關落實實施內部控制制度督導會報（以下簡稱本府內控督導會報）</w:t>
            </w:r>
            <w:r w:rsidR="00B71FCB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查核各機關內部控制運作情況之作法</w:t>
            </w:r>
            <w:r w:rsidR="00342839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E27076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</w:t>
            </w:r>
            <w:r w:rsidR="00B378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定</w:t>
            </w:r>
            <w:r w:rsidR="00B71FCB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臺北市政府實施內部控制制度作業原則(以下簡稱</w:t>
            </w:r>
            <w:r w:rsidR="00342839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本作業原則</w:t>
            </w:r>
            <w:r w:rsidR="00B71FCB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342839" w:rsidRPr="00E270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342839" w:rsidRPr="00CC7D1D" w:rsidTr="00773204">
        <w:tc>
          <w:tcPr>
            <w:tcW w:w="4679" w:type="dxa"/>
          </w:tcPr>
          <w:p w:rsidR="00342839" w:rsidRPr="00CC7D1D" w:rsidRDefault="00342839" w:rsidP="001C0F11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 w:eastAsia="x-none"/>
              </w:rPr>
              <w:t>臺北市政府（以下簡稱本府）為使所屬各機關（構）、學校（以下簡稱各機關）落實內部控制制度之實施，並強化各機關內部控制制度，以合理確保內部控制制度持續有效運作，特訂定本作業原則。</w:t>
            </w:r>
          </w:p>
        </w:tc>
        <w:tc>
          <w:tcPr>
            <w:tcW w:w="5245" w:type="dxa"/>
          </w:tcPr>
          <w:p w:rsidR="00342839" w:rsidRPr="00CC7D1D" w:rsidRDefault="00342839" w:rsidP="001F1B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100" w:before="360" w:after="100" w:afterAutospacing="1" w:line="390" w:lineRule="exact"/>
              <w:ind w:left="567" w:hanging="567"/>
              <w:contextualSpacing/>
              <w:jc w:val="both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  <w:lang w:val="x-none" w:eastAsia="x-none"/>
              </w:rPr>
            </w:pPr>
            <w:proofErr w:type="spellStart"/>
            <w:r w:rsidRPr="00CC7D1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明定本作業原則訂定之目的</w:t>
            </w:r>
            <w:proofErr w:type="spellEnd"/>
            <w:r w:rsidRPr="00CC7D1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。</w:t>
            </w:r>
          </w:p>
        </w:tc>
      </w:tr>
      <w:tr w:rsidR="00342839" w:rsidRPr="00CC7D1D" w:rsidTr="00773204">
        <w:tc>
          <w:tcPr>
            <w:tcW w:w="4679" w:type="dxa"/>
          </w:tcPr>
          <w:p w:rsidR="00342839" w:rsidRPr="00CC7D1D" w:rsidRDefault="00342839" w:rsidP="001C0F11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 w:eastAsia="x-none"/>
              </w:rPr>
            </w:pPr>
            <w:proofErr w:type="spell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 w:eastAsia="x-none"/>
              </w:rPr>
              <w:t>本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作業原則推動單位</w:t>
            </w:r>
            <w:proofErr w:type="spell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：</w:t>
            </w:r>
          </w:p>
        </w:tc>
        <w:tc>
          <w:tcPr>
            <w:tcW w:w="5245" w:type="dxa"/>
          </w:tcPr>
          <w:p w:rsidR="00342839" w:rsidRPr="00CC7D1D" w:rsidRDefault="00342839" w:rsidP="001C0F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x-none" w:eastAsia="x-none"/>
              </w:rPr>
            </w:pPr>
            <w:r w:rsidRPr="00CC7D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明定本作業原則推動單位</w:t>
            </w:r>
            <w:r w:rsidRPr="00CC7D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 w:eastAsia="x-none"/>
              </w:rPr>
              <w:t>。</w:t>
            </w:r>
          </w:p>
        </w:tc>
      </w:tr>
      <w:tr w:rsidR="00342839" w:rsidRPr="00CC7D1D" w:rsidTr="00773204">
        <w:tc>
          <w:tcPr>
            <w:tcW w:w="4679" w:type="dxa"/>
          </w:tcPr>
          <w:p w:rsidR="00342839" w:rsidRPr="00CC7D1D" w:rsidRDefault="00342839" w:rsidP="001C0F11"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 w:eastAsia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本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 w:eastAsia="x-none"/>
              </w:rPr>
              <w:t>府實施內部控制制度推動及督導小組（以下簡稱本府內控推動及督導小組）：由秘書長召集財政局、工務局、研究發展考核委員會、人事處、政風處及主計處（以下簡稱各成員機關）等機關首長組成；其幕僚作業由主計處擔任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。</w:t>
            </w:r>
          </w:p>
        </w:tc>
        <w:tc>
          <w:tcPr>
            <w:tcW w:w="5245" w:type="dxa"/>
          </w:tcPr>
          <w:p w:rsidR="00342839" w:rsidRPr="00A109E6" w:rsidRDefault="00342839" w:rsidP="00C141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100" w:before="360" w:after="100" w:afterAutospacing="1" w:line="390" w:lineRule="exact"/>
              <w:ind w:left="567" w:hanging="567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val="x-none"/>
              </w:rPr>
            </w:pPr>
            <w:proofErr w:type="spellStart"/>
            <w:r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明</w:t>
            </w:r>
            <w:proofErr w:type="gramStart"/>
            <w:r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定府級</w:t>
            </w:r>
            <w:proofErr w:type="gramEnd"/>
            <w:r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推動單位之成員及名稱</w:t>
            </w:r>
            <w:proofErr w:type="spellEnd"/>
            <w:r w:rsidR="00C14108"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/>
              </w:rPr>
              <w:t>。</w:t>
            </w:r>
          </w:p>
          <w:p w:rsidR="00342839" w:rsidRPr="00CC7D1D" w:rsidRDefault="00342839" w:rsidP="001C0F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  <w:lang w:val="x-none" w:eastAsia="x-none"/>
              </w:rPr>
            </w:pPr>
          </w:p>
        </w:tc>
      </w:tr>
      <w:tr w:rsidR="00342839" w:rsidRPr="00CC7D1D" w:rsidTr="00773204">
        <w:tc>
          <w:tcPr>
            <w:tcW w:w="4679" w:type="dxa"/>
          </w:tcPr>
          <w:p w:rsidR="00342839" w:rsidRPr="00CC7D1D" w:rsidRDefault="00342839" w:rsidP="001C0F11"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208" w:left="106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 w:eastAsia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各機關內部控制專案小組：由機關首長或副首長召集業務及會計單位組成；其幕僚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作業由機關首長指定適當單位擔任。</w:t>
            </w:r>
          </w:p>
        </w:tc>
        <w:tc>
          <w:tcPr>
            <w:tcW w:w="5245" w:type="dxa"/>
          </w:tcPr>
          <w:p w:rsidR="00342839" w:rsidRPr="00A109E6" w:rsidRDefault="00342839" w:rsidP="00C141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100" w:before="360" w:after="100" w:afterAutospacing="1" w:line="390" w:lineRule="exact"/>
              <w:ind w:left="567" w:hanging="567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val="x-none" w:eastAsia="x-none"/>
              </w:rPr>
            </w:pPr>
            <w:proofErr w:type="spellStart"/>
            <w:r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lastRenderedPageBreak/>
              <w:t>明定各機關推動單位之成員及名稱</w:t>
            </w:r>
            <w:proofErr w:type="spellEnd"/>
            <w:r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。</w:t>
            </w:r>
          </w:p>
          <w:p w:rsidR="00342839" w:rsidRPr="00CC7D1D" w:rsidRDefault="00342839" w:rsidP="001C0F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  <w:lang w:val="x-none"/>
              </w:rPr>
            </w:pPr>
          </w:p>
        </w:tc>
      </w:tr>
      <w:tr w:rsidR="00342839" w:rsidRPr="00CC7D1D" w:rsidTr="00773204">
        <w:tc>
          <w:tcPr>
            <w:tcW w:w="4679" w:type="dxa"/>
          </w:tcPr>
          <w:p w:rsidR="00342839" w:rsidRPr="00CC7D1D" w:rsidRDefault="00342839" w:rsidP="00D763C4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proofErr w:type="spell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 w:eastAsia="x-none"/>
              </w:rPr>
              <w:lastRenderedPageBreak/>
              <w:t>本府內控推動及督導小組之任務如下</w:t>
            </w:r>
            <w:proofErr w:type="spell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 w:eastAsia="x-none"/>
              </w:rPr>
              <w:t>：</w:t>
            </w:r>
          </w:p>
          <w:p w:rsidR="00342839" w:rsidRPr="00CC7D1D" w:rsidRDefault="00D763C4" w:rsidP="001C0F11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每年三月及十一月召開本府</w:t>
            </w:r>
            <w:r w:rsidR="00342839"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各機關落實實施內部控制制度督導會報（以下簡稱本府內控督導會報）</w:t>
            </w:r>
            <w:r w:rsidRPr="00CC7D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x-none"/>
              </w:rPr>
              <w:t>為原則</w:t>
            </w:r>
            <w:r w:rsidR="00342839"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，必要時得召開臨時會議，並得視議題需要，邀請相關機關或學者專家列席。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督導本府各機關落實實施內部控制制度。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審議本府內部控制相關作業規定。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核定各成員機關年度訪查計畫。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審議各成員機關提報年度訪查成效（含審查意見及建議獎懲名單）。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審議各成員機關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賡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續追蹤列管案件之後續改善辦理情形。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備查各成員機關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研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訂之本府各機關共通性內部控制作業項目規範。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諮詢、審議或備查本府內部控制其他相關事項。</w:t>
            </w:r>
          </w:p>
        </w:tc>
        <w:tc>
          <w:tcPr>
            <w:tcW w:w="5245" w:type="dxa"/>
          </w:tcPr>
          <w:p w:rsidR="00342839" w:rsidRPr="00CC7D1D" w:rsidRDefault="00A109E6" w:rsidP="00A10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100" w:before="360" w:after="100" w:afterAutospacing="1" w:line="390" w:lineRule="exact"/>
              <w:contextualSpacing/>
              <w:jc w:val="both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  <w:lang w:val="x-none" w:eastAsia="x-none"/>
              </w:rPr>
            </w:pPr>
            <w:r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/>
              </w:rPr>
              <w:t>依</w:t>
            </w:r>
            <w:proofErr w:type="gramStart"/>
            <w:r w:rsidR="0008556E"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104</w:t>
            </w:r>
            <w:proofErr w:type="gramEnd"/>
            <w:r w:rsidR="0008556E"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年度本府內控督導會報會議結論及實務作業</w:t>
            </w:r>
            <w:r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/>
              </w:rPr>
              <w:t>，</w:t>
            </w:r>
            <w:proofErr w:type="spellStart"/>
            <w:r w:rsidR="00342839"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明定本府內控推動及督導小組之主要工作事項</w:t>
            </w:r>
            <w:proofErr w:type="spellEnd"/>
            <w:r w:rsidR="00342839" w:rsidRPr="00A109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val="x-none" w:eastAsia="x-none"/>
              </w:rPr>
              <w:t>。</w:t>
            </w:r>
          </w:p>
        </w:tc>
      </w:tr>
      <w:tr w:rsidR="00342839" w:rsidRPr="00CC7D1D" w:rsidTr="00773204">
        <w:tc>
          <w:tcPr>
            <w:tcW w:w="4679" w:type="dxa"/>
          </w:tcPr>
          <w:p w:rsidR="00342839" w:rsidRPr="00CC7D1D" w:rsidRDefault="00342839" w:rsidP="001C0F11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各成員機關應辦理之事項如下：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研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訂本府各機關共通性內部控制作業項目規範。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6"/>
              </w:numPr>
              <w:tabs>
                <w:tab w:val="left" w:pos="10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定期或不定期派員訪查各機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關實施內部控制制度之情況，分工訪查事項如下：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981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財政局：財務及財產管理之辦理情形。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10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工務局：各機關採購業務內部控制設計、執行之辦理情形。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7"/>
              </w:numPr>
              <w:tabs>
                <w:tab w:val="left" w:pos="10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7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研究發展考核委員會：各機關施政計畫選項及府管計畫業務之推動情形。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7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人事處：員額管理、任免遷調、考核獎懲及待遇福利之審核。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7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政風處：機關內部控制能否有效預防貪瀆。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7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主計處：內部審核及會計制度之實施狀況。</w:t>
            </w:r>
          </w:p>
          <w:p w:rsidR="00342839" w:rsidRPr="00CC7D1D" w:rsidRDefault="00342839" w:rsidP="00BD77E7">
            <w:pPr>
              <w:widowControl/>
              <w:numPr>
                <w:ilvl w:val="0"/>
                <w:numId w:val="6"/>
              </w:numPr>
              <w:tabs>
                <w:tab w:val="left" w:pos="10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前款之訪查方式及其程序如下：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08" w:hanging="26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依前款所訂分工訪查事項，擬具年度訪查計畫討論案，送主計處彙整提報本府內控督導會報核定後，據以辦理。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7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依核定訪查計畫，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赴受查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機關實地進行訪查，並將訪查結果作成查核報告，函請受查機關及該管一級機關檢討或督導改善。另依受查機關檢討改善情形提出審查意見後，擬具討論案及建議列席名單，送主計處彙整提報本府內控督導會報審議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6"/>
              </w:numPr>
              <w:tabs>
                <w:tab w:val="left" w:pos="10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因應各機關內部控制執行情況，倘有組成跨成員機關訪查之需要，得提經本府內控督導會報核定後辦理。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6"/>
              </w:numPr>
              <w:tabs>
                <w:tab w:val="left" w:pos="10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6" w:hanging="5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年度訪查計畫辦理完竣後，得依辦理成效或對象提報獎懲如下：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hanging="24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受查機關執行內部控制如有具體績效者，各成員機關得依其主管之獎勵規定，另擬具獎勵機關名單（列明獎勵事由、人數及額度等）提本府內控督導會報審議。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hanging="2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受查機關於本府內控督導會報中承諾改善事項，若經再次查核仍有未改善且未善盡職責者，各成員機關得依其</w:t>
            </w:r>
            <w:r w:rsidR="001B6A81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主管之懲處規定，另擬具懲處機關名單（列明懲處事由、人數及額度等）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提本府內控督導會報審議。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hanging="2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各成員機關訪查人員原則不予敘獎，惟訪查得力提有具體績效者，得於最高記功一次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之獎度內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，由各成員機關擬具建議獎勵名單提本府內控督導會報審議。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6"/>
              </w:numPr>
              <w:tabs>
                <w:tab w:val="left" w:pos="10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987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為使各機關熟稔內部控制之機制，並強化正確內部控制觀念，各成員機關應依第二款所訂之分工訪查事項，定期或不定期辦理內部控制相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關宣導或教育訓練。</w:t>
            </w:r>
          </w:p>
        </w:tc>
        <w:tc>
          <w:tcPr>
            <w:tcW w:w="5245" w:type="dxa"/>
          </w:tcPr>
          <w:p w:rsidR="00AF7283" w:rsidRPr="00AF7283" w:rsidRDefault="00AF7283" w:rsidP="00AF72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100" w:before="360" w:after="100" w:afterAutospacing="1" w:line="390" w:lineRule="exact"/>
              <w:ind w:left="567" w:hanging="567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lastRenderedPageBreak/>
              <w:t>一、為落實各機關內部控制制度之實施，並強化各機關內部控制制度，明定各成員機關應</w:t>
            </w:r>
            <w:proofErr w:type="gramStart"/>
            <w:r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研</w:t>
            </w:r>
            <w:proofErr w:type="gramEnd"/>
            <w:r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訂本府各機關共通性內部控制作業項目規範、派員訪查各</w:t>
            </w:r>
            <w:r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lastRenderedPageBreak/>
              <w:t>機關實施內部控制制度情況，並辦理內部控制相關宣導或教育訓練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。</w:t>
            </w:r>
          </w:p>
          <w:p w:rsidR="00342839" w:rsidRPr="00AF7283" w:rsidRDefault="00AF7283" w:rsidP="00AF72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100" w:before="360" w:after="100" w:afterAutospacing="1" w:line="390" w:lineRule="exact"/>
              <w:ind w:left="567" w:hanging="567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二、</w:t>
            </w:r>
            <w:r w:rsidR="006E6372"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另考量本府自99年度以來即由各成員機關個別訪查，</w:t>
            </w:r>
            <w:proofErr w:type="gramStart"/>
            <w:r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爰</w:t>
            </w:r>
            <w:proofErr w:type="gramEnd"/>
            <w:r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刪除</w:t>
            </w:r>
            <w:r w:rsidR="00DB38D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原</w:t>
            </w:r>
            <w:r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成效作業原則第7點第2款有關聯合訪查相關規定，</w:t>
            </w:r>
            <w:r w:rsidR="006E6372"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惟為賦予訪查方式之彈性</w:t>
            </w:r>
            <w:r w:rsidR="00DA5228"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，</w:t>
            </w:r>
            <w:r w:rsidR="0064480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第4款</w:t>
            </w:r>
            <w:proofErr w:type="gramStart"/>
            <w:r w:rsidR="0064480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明定</w:t>
            </w:r>
            <w:r w:rsidR="006E6372"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倘有</w:t>
            </w:r>
            <w:proofErr w:type="gramEnd"/>
            <w:r w:rsidR="006E6372" w:rsidRP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組成跨成員機關訪查之需要，得提經本府內控督導會報核定後辦理。</w:t>
            </w:r>
          </w:p>
          <w:p w:rsidR="00342839" w:rsidRPr="00CC7D1D" w:rsidRDefault="00342839" w:rsidP="00EE7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lang w:val="x-none" w:eastAsia="x-none"/>
              </w:rPr>
            </w:pPr>
          </w:p>
        </w:tc>
      </w:tr>
      <w:tr w:rsidR="00342839" w:rsidRPr="00CC7D1D" w:rsidTr="00773204">
        <w:tc>
          <w:tcPr>
            <w:tcW w:w="4679" w:type="dxa"/>
          </w:tcPr>
          <w:p w:rsidR="00342839" w:rsidRPr="00CC7D1D" w:rsidRDefault="00342839" w:rsidP="001C0F11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各機關應辦理之事項如下：</w:t>
            </w:r>
          </w:p>
          <w:p w:rsidR="00342839" w:rsidRPr="00CC7D1D" w:rsidRDefault="00342839" w:rsidP="00BD77E7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49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機關首長應督導其內部控制制度之實施，並對推動及落實內部控制制度負最終責任。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49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審視業務之風險性及重要性，並參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採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各成員機關所訂本府各機關共通性內部控制作業項目規範，訂定合宜之內部控制制度。訂定內部控制制度應注意之事項如附件一。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49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前款內部控制制度除本府各一級機關及區公所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得免函報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本府備查外，餘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均應函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報其上級機關備查。嗣後如有增（修）訂時，其程序亦同。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49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進行風險評估時，應參考中央訂頒風險管理及危機處理作業手冊之觀念、方法，辨識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攸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關之施政風險、分析該等風險之影響程度與發生可能性，及評量對風險之容忍度，據以決定各工作項目之風險等級。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49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前款風險評估包括：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8"/>
              </w:num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64" w:hanging="294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風險辨識：辨識影響目標達成之風險因素（事項）。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8"/>
              </w:numPr>
              <w:tabs>
                <w:tab w:val="left" w:pos="916"/>
                <w:tab w:val="left" w:pos="16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7" w:hanging="284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風險分析：分析風險因素一旦發生對機關之影響程度（如財物損失、政務停擺或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形象受損等衝擊之嚴重性），及其發生之可能性（機率），綜合兩者據以估計風險等級。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8"/>
              </w:numPr>
              <w:tabs>
                <w:tab w:val="left" w:pos="916"/>
                <w:tab w:val="left" w:pos="16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998" w:hanging="284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風險評量：評量對風險之容忍度並依據風險等級，決定須優先處理之風險因素。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49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內部控制制度應由機關全員落實執行，並每年定期或不定期就制度面之有效性及遵行性進行檢討考核，因應外界環境隨時變遷之特性即時補充修正，且每年至少自行評估一次其有效性，作成自行評估相關表件建檔備查，以維制度可行及效能最大</w:t>
            </w:r>
            <w:r w:rsidR="00B37885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之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原則。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49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針對監察院彈劾、糾正（舉）或提出其他調查意見、審計機關之審核意見、上級與權責機關督導、機關辦理自行評估及外界關注事項等，涉及內部控制缺失部分，應積極檢討改善。</w:t>
            </w:r>
          </w:p>
          <w:p w:rsidR="00342839" w:rsidRPr="00CC7D1D" w:rsidRDefault="00342839" w:rsidP="003D4990">
            <w:pPr>
              <w:widowControl/>
              <w:numPr>
                <w:ilvl w:val="0"/>
                <w:numId w:val="10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內部控制專案小組每年</w:t>
            </w:r>
            <w:r w:rsidR="003D4990" w:rsidRPr="003D4990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應至少辦理一次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機關內部控制運作情況</w:t>
            </w:r>
            <w:r w:rsidR="003D4990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查核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：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9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7" w:hanging="284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提出查核報告，請受查單位確實檢討改善，並應持續追蹤至改善完成為止。每半年至少追蹤一次，並將其改善及辦理情形彙整簽報機關首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長核定，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惟遇重大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違失或機關有受重大損害之虞時，應隨時追蹤列管。內部控制查核作業流程如附件二。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9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27" w:hanging="284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相關查核計畫、查核報告及其相關表件或佐證資料等，應自工作結束日起，以書面文件或電子化形式至少保存五年，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惟倘受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查單位尚未完成改善，則應保存至改善完成為止。</w:t>
            </w:r>
          </w:p>
        </w:tc>
        <w:tc>
          <w:tcPr>
            <w:tcW w:w="5245" w:type="dxa"/>
          </w:tcPr>
          <w:p w:rsidR="00AD0957" w:rsidRPr="00CC7D1D" w:rsidRDefault="001F4C8B" w:rsidP="00AD09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lastRenderedPageBreak/>
              <w:t>為使各機關落實內部控制制度之實施</w:t>
            </w:r>
            <w:r w:rsidR="00AF728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合理確保內部控制制</w:t>
            </w:r>
            <w:r w:rsidRPr="00D8369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度有效運作，</w:t>
            </w:r>
            <w:r w:rsidR="00DA5830" w:rsidRPr="00DA583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明定各機關訂定內部控制制度（含風險評估）之作業程序及注意事項，且應由機關首長督導實施，全員落實執行，每年檢討考核並至少自行評估一次其有效性，另各機關內部控制專案小組，每年</w:t>
            </w:r>
            <w:r w:rsidR="00AA219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至少辦理1次</w:t>
            </w:r>
            <w:r w:rsidR="00DA5830" w:rsidRPr="00DA583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機關內部控制運作情況</w:t>
            </w:r>
            <w:r w:rsidR="00AA2190" w:rsidRPr="00DA583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查核</w:t>
            </w:r>
            <w:r w:rsidR="00DA5830" w:rsidRPr="00DA583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，並追蹤其改善情形</w:t>
            </w:r>
            <w:r w:rsidR="00DA583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。</w:t>
            </w:r>
          </w:p>
          <w:p w:rsidR="00342839" w:rsidRPr="00CC7D1D" w:rsidRDefault="00342839" w:rsidP="00BB1B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100" w:before="360" w:after="100" w:afterAutospacing="1" w:line="390" w:lineRule="exact"/>
              <w:ind w:left="567" w:hanging="567"/>
              <w:contextualSpacing/>
              <w:jc w:val="both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  <w:lang w:val="x-none"/>
              </w:rPr>
            </w:pPr>
          </w:p>
        </w:tc>
      </w:tr>
      <w:tr w:rsidR="00342839" w:rsidRPr="00CC7D1D" w:rsidTr="00773204">
        <w:tc>
          <w:tcPr>
            <w:tcW w:w="4679" w:type="dxa"/>
          </w:tcPr>
          <w:p w:rsidR="00342839" w:rsidRPr="00CC7D1D" w:rsidRDefault="00342839" w:rsidP="001C0F11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各一級機關，除辦理前點所列事項外，並應辦理及督導下列事項：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72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督導所屬機關檢討強化現有內部控制作業，落實實施內部控制相關工作。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72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內部控制缺失如涉及跨局處業務，各一級機關應主動與相關權責機關進行溝通協調；必要時，得提報本府內控督導會報，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釐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清權責，檢討改善。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72" w:hanging="567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內部控制專案小組每年</w:t>
            </w:r>
            <w:r w:rsidR="003D4990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應至少辦理一次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所屬機關內部控制運作情況</w:t>
            </w:r>
            <w:r w:rsidR="003D4990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查核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：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66" w:hanging="284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查核</w:t>
            </w:r>
            <w:r w:rsidR="00B37885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所屬機關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數應占所屬機關總數半數以上且不得少於三</w:t>
            </w:r>
            <w:r w:rsidR="00634C27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機關，惟所屬機關總數少於三機關時</w:t>
            </w:r>
            <w:bookmarkStart w:id="0" w:name="_GoBack"/>
            <w:bookmarkEnd w:id="0"/>
            <w:r w:rsidR="00B37885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，則應全數查核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66" w:hanging="284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提出查核報告，請受查機關確實檢討改善，並應持續追</w:t>
            </w: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蹤至改善完成為止。每半年至少追蹤一次，並將其改善及辦理情形彙整簽報機關首長核定，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惟遇重大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違失或機關有受重大損害之虞時，應隨時追蹤列管。內部控制查核作業流程如附件二。</w:t>
            </w:r>
          </w:p>
          <w:p w:rsidR="00342839" w:rsidRPr="00CC7D1D" w:rsidRDefault="00342839" w:rsidP="001C0F11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1066" w:hanging="284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相關查核計畫、查核報告及其相關表件或佐證資料等，應自工作結束日起，以書面文件或電子化形式至少保存五年，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惟倘受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查機關尚未完成改善，則應保存至改善完成為止。</w:t>
            </w:r>
          </w:p>
        </w:tc>
        <w:tc>
          <w:tcPr>
            <w:tcW w:w="5245" w:type="dxa"/>
          </w:tcPr>
          <w:p w:rsidR="00EE7BD5" w:rsidRPr="00EE7BD5" w:rsidRDefault="00644809" w:rsidP="00EE7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100" w:before="360" w:after="100" w:afterAutospacing="1" w:line="390" w:lineRule="exact"/>
              <w:ind w:left="567" w:hanging="567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lastRenderedPageBreak/>
              <w:t>一、為強化</w:t>
            </w:r>
            <w:r w:rsidR="00EE7BD5"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一級機關監督之責，明定各一級機關應督導所屬機關檢討</w:t>
            </w:r>
            <w:r w:rsidR="00DA583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及落實內部控制作業</w:t>
            </w:r>
            <w:r w:rsidR="00EE7BD5"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，每年</w:t>
            </w:r>
            <w:r w:rsidR="00F653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至少辦理1次</w:t>
            </w:r>
            <w:r w:rsidR="00EE7BD5"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所屬機關內部控制運作情況</w:t>
            </w:r>
            <w:r w:rsidR="00F653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查核</w:t>
            </w:r>
            <w:r w:rsidR="00EE7BD5"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，並追蹤其改善情形。</w:t>
            </w:r>
          </w:p>
          <w:p w:rsidR="00342839" w:rsidRPr="00CC7D1D" w:rsidRDefault="00EE7BD5" w:rsidP="00B378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100" w:before="360" w:after="100" w:afterAutospacing="1" w:line="390" w:lineRule="exact"/>
              <w:ind w:left="567" w:hanging="567"/>
              <w:contextualSpacing/>
              <w:jc w:val="both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  <w:lang w:val="x-none"/>
              </w:rPr>
            </w:pPr>
            <w:r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二、又考量本府各機關實施內部控制作業多年，已可落實相關機制，為使一級機關內部控制專案小組查核所屬機關，其人力、資源能集中做更有效益之運用，</w:t>
            </w:r>
            <w:proofErr w:type="gramStart"/>
            <w:r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俾</w:t>
            </w:r>
            <w:proofErr w:type="gramEnd"/>
            <w:r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利深入辦理重點查核，</w:t>
            </w:r>
            <w:proofErr w:type="gramStart"/>
            <w:r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爰</w:t>
            </w:r>
            <w:proofErr w:type="gramEnd"/>
            <w:r w:rsidR="0064480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第3款第1項</w:t>
            </w:r>
            <w:r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明定一級機關每年查核</w:t>
            </w:r>
            <w:r w:rsidR="00B3788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所屬機關</w:t>
            </w:r>
            <w:r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半數以上且不得少於</w:t>
            </w:r>
            <w:r w:rsidR="00DB38D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3</w:t>
            </w:r>
            <w:r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機關內部控制運作情況</w:t>
            </w:r>
            <w:r w:rsidR="00B37885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，惟所屬機關總數少於</w:t>
            </w:r>
            <w:r w:rsidR="00AA2190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3</w:t>
            </w:r>
            <w:r w:rsidR="00B37885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機關者，則應全數查核</w:t>
            </w:r>
            <w:r w:rsidRPr="00EE7B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x-none"/>
              </w:rPr>
              <w:t>。</w:t>
            </w:r>
          </w:p>
        </w:tc>
      </w:tr>
      <w:tr w:rsidR="00342839" w:rsidRPr="00CC7D1D" w:rsidTr="00773204">
        <w:tc>
          <w:tcPr>
            <w:tcW w:w="4679" w:type="dxa"/>
          </w:tcPr>
          <w:p w:rsidR="00342839" w:rsidRPr="00CC7D1D" w:rsidRDefault="00342839" w:rsidP="00B23D02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val="x-none" w:eastAsia="x-none"/>
              </w:rPr>
            </w:pPr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lastRenderedPageBreak/>
              <w:t>本作業原則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所需書表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格式如附件</w:t>
            </w:r>
            <w:proofErr w:type="gramStart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三</w:t>
            </w:r>
            <w:proofErr w:type="gramEnd"/>
            <w:r w:rsidRPr="00CC7D1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x-none"/>
              </w:rPr>
              <w:t>。</w:t>
            </w:r>
          </w:p>
        </w:tc>
        <w:tc>
          <w:tcPr>
            <w:tcW w:w="5245" w:type="dxa"/>
          </w:tcPr>
          <w:p w:rsidR="00342839" w:rsidRPr="00CC7D1D" w:rsidRDefault="00342839" w:rsidP="001C0F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pacing w:val="-4"/>
                <w:sz w:val="28"/>
                <w:szCs w:val="28"/>
                <w:lang w:val="x-none"/>
              </w:rPr>
            </w:pPr>
            <w:r w:rsidRPr="00290D43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  <w:lang w:val="x-none"/>
              </w:rPr>
              <w:t>明定</w:t>
            </w:r>
            <w:r w:rsidR="00290D43" w:rsidRPr="00290D43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  <w:lang w:val="x-none"/>
              </w:rPr>
              <w:t>本作業原則</w:t>
            </w:r>
            <w:proofErr w:type="gramStart"/>
            <w:r w:rsidRPr="00290D43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  <w:lang w:val="x-none"/>
              </w:rPr>
              <w:t>所需書表</w:t>
            </w:r>
            <w:proofErr w:type="gramEnd"/>
            <w:r w:rsidRPr="00290D43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  <w:lang w:val="x-none"/>
              </w:rPr>
              <w:t>格式。</w:t>
            </w:r>
          </w:p>
        </w:tc>
      </w:tr>
    </w:tbl>
    <w:p w:rsidR="00342839" w:rsidRPr="00CC7D1D" w:rsidRDefault="00342839" w:rsidP="00342839">
      <w:pPr>
        <w:jc w:val="center"/>
        <w:rPr>
          <w:rFonts w:ascii="標楷體" w:eastAsia="標楷體" w:hAnsi="標楷體"/>
        </w:rPr>
      </w:pPr>
    </w:p>
    <w:sectPr w:rsidR="00342839" w:rsidRPr="00CC7D1D" w:rsidSect="0083031C">
      <w:headerReference w:type="default" r:id="rId9"/>
      <w:footerReference w:type="default" r:id="rId10"/>
      <w:pgSz w:w="11906" w:h="16838"/>
      <w:pgMar w:top="1440" w:right="1274" w:bottom="1440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AE" w:rsidRDefault="008F0EAE" w:rsidP="00AD0957">
      <w:r>
        <w:separator/>
      </w:r>
    </w:p>
  </w:endnote>
  <w:endnote w:type="continuationSeparator" w:id="0">
    <w:p w:rsidR="008F0EAE" w:rsidRDefault="008F0EAE" w:rsidP="00AD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87679"/>
      <w:docPartObj>
        <w:docPartGallery w:val="Page Numbers (Bottom of Page)"/>
        <w:docPartUnique/>
      </w:docPartObj>
    </w:sdtPr>
    <w:sdtEndPr/>
    <w:sdtContent>
      <w:p w:rsidR="00BD47FA" w:rsidRDefault="00BD47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C27" w:rsidRPr="00634C27">
          <w:rPr>
            <w:noProof/>
            <w:lang w:val="zh-TW"/>
          </w:rPr>
          <w:t>7</w:t>
        </w:r>
        <w:r>
          <w:fldChar w:fldCharType="end"/>
        </w:r>
      </w:p>
    </w:sdtContent>
  </w:sdt>
  <w:p w:rsidR="00BD47FA" w:rsidRDefault="00BD47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AE" w:rsidRDefault="008F0EAE" w:rsidP="00AD0957">
      <w:r>
        <w:separator/>
      </w:r>
    </w:p>
  </w:footnote>
  <w:footnote w:type="continuationSeparator" w:id="0">
    <w:p w:rsidR="008F0EAE" w:rsidRDefault="008F0EAE" w:rsidP="00AD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CE" w:rsidRPr="00105FCE" w:rsidRDefault="00105FCE" w:rsidP="00CE1E7B">
    <w:pPr>
      <w:pStyle w:val="a5"/>
      <w:jc w:val="center"/>
      <w:rPr>
        <w:rFonts w:ascii="標楷體" w:eastAsia="標楷體" w:hAnsi="標楷體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532"/>
    <w:multiLevelType w:val="hybridMultilevel"/>
    <w:tmpl w:val="A16C5D32"/>
    <w:lvl w:ilvl="0" w:tplc="476A3784">
      <w:start w:val="1"/>
      <w:numFmt w:val="decimal"/>
      <w:suff w:val="nothing"/>
      <w:lvlText w:val="%1.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">
    <w:nsid w:val="0FAD0CB3"/>
    <w:multiLevelType w:val="hybridMultilevel"/>
    <w:tmpl w:val="0A20F1E0"/>
    <w:lvl w:ilvl="0" w:tplc="3B2456C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AA475A"/>
    <w:multiLevelType w:val="hybridMultilevel"/>
    <w:tmpl w:val="C74682A8"/>
    <w:lvl w:ilvl="0" w:tplc="C7D011C8">
      <w:start w:val="1"/>
      <w:numFmt w:val="decimal"/>
      <w:suff w:val="nothing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3">
    <w:nsid w:val="20E0700C"/>
    <w:multiLevelType w:val="hybridMultilevel"/>
    <w:tmpl w:val="0A20F1E0"/>
    <w:lvl w:ilvl="0" w:tplc="3B2456C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1A7FB6"/>
    <w:multiLevelType w:val="hybridMultilevel"/>
    <w:tmpl w:val="B2FE4F5A"/>
    <w:lvl w:ilvl="0" w:tplc="A238EF4E">
      <w:start w:val="1"/>
      <w:numFmt w:val="decimal"/>
      <w:suff w:val="nothing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>
    <w:nsid w:val="2F580FE1"/>
    <w:multiLevelType w:val="hybridMultilevel"/>
    <w:tmpl w:val="64268352"/>
    <w:lvl w:ilvl="0" w:tplc="35AA4BF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3CCC2898"/>
    <w:multiLevelType w:val="hybridMultilevel"/>
    <w:tmpl w:val="3A005B72"/>
    <w:lvl w:ilvl="0" w:tplc="0DB662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E83383"/>
    <w:multiLevelType w:val="hybridMultilevel"/>
    <w:tmpl w:val="1BF01940"/>
    <w:lvl w:ilvl="0" w:tplc="3C76E544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9" w:hanging="480"/>
      </w:pPr>
    </w:lvl>
    <w:lvl w:ilvl="2" w:tplc="0409001B" w:tentative="1">
      <w:start w:val="1"/>
      <w:numFmt w:val="lowerRoman"/>
      <w:lvlText w:val="%3."/>
      <w:lvlJc w:val="right"/>
      <w:pPr>
        <w:ind w:left="2479" w:hanging="480"/>
      </w:p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abstractNum w:abstractNumId="8">
    <w:nsid w:val="4B2A4340"/>
    <w:multiLevelType w:val="hybridMultilevel"/>
    <w:tmpl w:val="74B4BA34"/>
    <w:lvl w:ilvl="0" w:tplc="C2F4AD5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DA4FBB"/>
    <w:multiLevelType w:val="hybridMultilevel"/>
    <w:tmpl w:val="FA540C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2931F7"/>
    <w:multiLevelType w:val="hybridMultilevel"/>
    <w:tmpl w:val="18BA1C7C"/>
    <w:lvl w:ilvl="0" w:tplc="672EC35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8B6564"/>
    <w:multiLevelType w:val="hybridMultilevel"/>
    <w:tmpl w:val="8064DBA2"/>
    <w:lvl w:ilvl="0" w:tplc="A284416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BD4B21"/>
    <w:multiLevelType w:val="hybridMultilevel"/>
    <w:tmpl w:val="B1B2705E"/>
    <w:lvl w:ilvl="0" w:tplc="1CF0A3A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3">
    <w:nsid w:val="78DD0A8F"/>
    <w:multiLevelType w:val="hybridMultilevel"/>
    <w:tmpl w:val="0A20F1E0"/>
    <w:lvl w:ilvl="0" w:tplc="3B2456C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39"/>
    <w:rsid w:val="00034246"/>
    <w:rsid w:val="00054CC3"/>
    <w:rsid w:val="0008556E"/>
    <w:rsid w:val="000D5AD6"/>
    <w:rsid w:val="00105FCE"/>
    <w:rsid w:val="00116AE1"/>
    <w:rsid w:val="001B6A81"/>
    <w:rsid w:val="001C0F11"/>
    <w:rsid w:val="001F1B77"/>
    <w:rsid w:val="001F4C8B"/>
    <w:rsid w:val="00290D43"/>
    <w:rsid w:val="00297722"/>
    <w:rsid w:val="002B6F60"/>
    <w:rsid w:val="00342839"/>
    <w:rsid w:val="0038117C"/>
    <w:rsid w:val="003D4990"/>
    <w:rsid w:val="0042408C"/>
    <w:rsid w:val="004B61C2"/>
    <w:rsid w:val="0052316F"/>
    <w:rsid w:val="00547B54"/>
    <w:rsid w:val="005E3E37"/>
    <w:rsid w:val="005E5A64"/>
    <w:rsid w:val="00634C27"/>
    <w:rsid w:val="00644809"/>
    <w:rsid w:val="00651680"/>
    <w:rsid w:val="006E6372"/>
    <w:rsid w:val="00727A60"/>
    <w:rsid w:val="00773204"/>
    <w:rsid w:val="00774A7E"/>
    <w:rsid w:val="0083031C"/>
    <w:rsid w:val="00843244"/>
    <w:rsid w:val="008F0EAE"/>
    <w:rsid w:val="00A109E6"/>
    <w:rsid w:val="00AA111C"/>
    <w:rsid w:val="00AA2190"/>
    <w:rsid w:val="00AD0957"/>
    <w:rsid w:val="00AD09A3"/>
    <w:rsid w:val="00AD2004"/>
    <w:rsid w:val="00AF18CF"/>
    <w:rsid w:val="00AF7283"/>
    <w:rsid w:val="00B23D02"/>
    <w:rsid w:val="00B37885"/>
    <w:rsid w:val="00B71FCB"/>
    <w:rsid w:val="00B92C52"/>
    <w:rsid w:val="00BB1B97"/>
    <w:rsid w:val="00BD47FA"/>
    <w:rsid w:val="00BD77E7"/>
    <w:rsid w:val="00C14108"/>
    <w:rsid w:val="00C17391"/>
    <w:rsid w:val="00C17E42"/>
    <w:rsid w:val="00C32423"/>
    <w:rsid w:val="00C75942"/>
    <w:rsid w:val="00CC7D1D"/>
    <w:rsid w:val="00CE1E7B"/>
    <w:rsid w:val="00CE6FDC"/>
    <w:rsid w:val="00D6079F"/>
    <w:rsid w:val="00D73968"/>
    <w:rsid w:val="00D763C4"/>
    <w:rsid w:val="00D83697"/>
    <w:rsid w:val="00DA5228"/>
    <w:rsid w:val="00DA5830"/>
    <w:rsid w:val="00DB38DB"/>
    <w:rsid w:val="00E27076"/>
    <w:rsid w:val="00E42682"/>
    <w:rsid w:val="00E60E4E"/>
    <w:rsid w:val="00EE7BD5"/>
    <w:rsid w:val="00F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2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09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09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78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2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09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09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7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4C39-5670-47C4-AC64-FD06708E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8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APAA-640110</dc:creator>
  <cp:lastModifiedBy>APAA-640110</cp:lastModifiedBy>
  <cp:revision>40</cp:revision>
  <dcterms:created xsi:type="dcterms:W3CDTF">2018-05-01T07:21:00Z</dcterms:created>
  <dcterms:modified xsi:type="dcterms:W3CDTF">2018-06-13T05:41:00Z</dcterms:modified>
</cp:coreProperties>
</file>